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201878BD" w:rsidR="00EA5DDF" w:rsidRPr="00A90535" w:rsidRDefault="002D5BB0" w:rsidP="002D5BB0">
      <w:pPr>
        <w:tabs>
          <w:tab w:val="center" w:pos="4961"/>
          <w:tab w:val="right" w:pos="9922"/>
        </w:tabs>
        <w:rPr>
          <w:rFonts w:ascii="Arial" w:hAnsi="Arial" w:cs="Arial"/>
        </w:rPr>
      </w:pPr>
      <w:r>
        <w:rPr>
          <w:rFonts w:ascii="Arial" w:hAnsi="Arial" w:cs="Arial"/>
        </w:rPr>
        <w:tab/>
      </w:r>
      <w:r w:rsidR="00FE49DA">
        <w:rPr>
          <w:rFonts w:ascii="Arial" w:hAnsi="Arial" w:cs="Arial"/>
          <w:noProof/>
        </w:rPr>
        <mc:AlternateContent>
          <mc:Choice Requires="wpg">
            <w:drawing>
              <wp:anchor distT="0" distB="0" distL="114300" distR="114300" simplePos="0" relativeHeight="251658240"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2965A" id="Group 2" o:spid="_x0000_s1026" style="position:absolute;margin-left:236.3pt;margin-top:.1pt;width:42.5pt;height:40.35pt;z-index:251658240"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l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Pr>
          <w:rFonts w:ascii="Arial" w:hAnsi="Arial" w:cs="Arial"/>
        </w:rPr>
        <w:tab/>
      </w:r>
      <w:r>
        <w:rPr>
          <w:b/>
          <w:bCs/>
          <w:sz w:val="16"/>
        </w:rPr>
        <w:t xml:space="preserve">ΠΑΡΑΡΤΗΜΑ </w:t>
      </w:r>
      <w:r w:rsidR="00006FF8">
        <w:rPr>
          <w:b/>
          <w:bCs/>
          <w:sz w:val="16"/>
          <w:lang w:val="en-US"/>
        </w:rPr>
        <w:t>V</w: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195D6B9" w:rsidR="009A2EAA" w:rsidRPr="00220C5A" w:rsidRDefault="00220C5A" w:rsidP="000C58E3">
            <w:pPr>
              <w:spacing w:before="240"/>
              <w:rPr>
                <w:rFonts w:ascii="Arial" w:hAnsi="Arial" w:cs="Arial"/>
                <w:sz w:val="22"/>
              </w:rPr>
            </w:pPr>
            <w:r w:rsidRPr="00970041">
              <w:rPr>
                <w:rFonts w:ascii="Verdana" w:hAnsi="Verdana"/>
                <w:b/>
                <w:color w:val="000000"/>
                <w:sz w:val="20"/>
                <w:szCs w:val="20"/>
              </w:rPr>
              <w:t>Το Τμήμα ………………… του Πανεπιστημίου Κρήτης</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Pr="00220C5A"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bookmarkStart w:id="0" w:name="_GoBack"/>
      <w:bookmarkEnd w:id="0"/>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lastRenderedPageBreak/>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35639314"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A9053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24"/>
    <w:rsid w:val="0000114F"/>
    <w:rsid w:val="00006FF8"/>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20C5A"/>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D5BB0"/>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0535"/>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103DCF6C-CDFD-4413-9B6A-0811D069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A16C2ED-CCD5-4AAE-BF52-B69C3B30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790</Words>
  <Characters>4270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Despoina Kanakaki</cp:lastModifiedBy>
  <cp:revision>15</cp:revision>
  <cp:lastPrinted>2024-07-18T09:33:00Z</cp:lastPrinted>
  <dcterms:created xsi:type="dcterms:W3CDTF">2024-11-13T09:42:00Z</dcterms:created>
  <dcterms:modified xsi:type="dcterms:W3CDTF">2024-12-05T12:39:00Z</dcterms:modified>
</cp:coreProperties>
</file>